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7BBC1">
      <w:pPr>
        <w:spacing w:line="360" w:lineRule="auto"/>
        <w:jc w:val="center"/>
        <w:rPr>
          <w:rFonts w:hint="eastAsia" w:ascii="黑体" w:hAnsi="黑体" w:eastAsia="黑体" w:cs="黑体"/>
          <w:sz w:val="40"/>
          <w:szCs w:val="40"/>
        </w:rPr>
      </w:pPr>
      <w:r>
        <w:rPr>
          <w:rFonts w:hint="eastAsia" w:ascii="黑体" w:hAnsi="黑体" w:eastAsia="黑体" w:cs="黑体"/>
          <w:sz w:val="40"/>
          <w:szCs w:val="40"/>
        </w:rPr>
        <w:t>网络竞拍规则</w:t>
      </w:r>
    </w:p>
    <w:p w14:paraId="401F1654">
      <w:pPr>
        <w:spacing w:line="360" w:lineRule="auto"/>
        <w:rPr>
          <w:rFonts w:hint="eastAsia"/>
          <w:sz w:val="24"/>
          <w:szCs w:val="24"/>
        </w:rPr>
      </w:pPr>
      <w:r>
        <w:rPr>
          <w:rFonts w:hint="eastAsia" w:asciiTheme="minorEastAsia" w:hAnsiTheme="minorEastAsia" w:eastAsiaTheme="minorEastAsia" w:cstheme="minorEastAsia"/>
          <w:b/>
          <w:bCs/>
          <w:sz w:val="24"/>
          <w:szCs w:val="24"/>
        </w:rPr>
        <w:t>拍卖标的：</w:t>
      </w:r>
      <w:r>
        <w:rPr>
          <w:rFonts w:hint="eastAsia"/>
          <w:sz w:val="24"/>
          <w:szCs w:val="24"/>
        </w:rPr>
        <w:t xml:space="preserve">兰陵县人民医院东医疗区兰谊宾馆客房部、餐饮部（病员餐厅）三年期经营权  </w:t>
      </w:r>
    </w:p>
    <w:p w14:paraId="17DA32C1">
      <w:pPr>
        <w:spacing w:line="360" w:lineRule="auto"/>
        <w:rPr>
          <w:rFonts w:hint="eastAsia"/>
          <w:sz w:val="24"/>
          <w:szCs w:val="24"/>
        </w:rPr>
      </w:pPr>
      <w:r>
        <w:rPr>
          <w:rFonts w:hint="eastAsia" w:asciiTheme="minorEastAsia" w:hAnsiTheme="minorEastAsia" w:eastAsiaTheme="minorEastAsia" w:cstheme="minorEastAsia"/>
          <w:b/>
          <w:bCs/>
          <w:sz w:val="24"/>
          <w:szCs w:val="24"/>
        </w:rPr>
        <w:t>拍卖平台：</w:t>
      </w:r>
      <w:r>
        <w:rPr>
          <w:rFonts w:hint="eastAsia"/>
          <w:sz w:val="24"/>
          <w:szCs w:val="24"/>
        </w:rPr>
        <w:t xml:space="preserve">临沂市公共资源电子交易平台（以下简称“平台”）  </w:t>
      </w:r>
    </w:p>
    <w:p w14:paraId="0567471A">
      <w:pPr>
        <w:spacing w:line="360" w:lineRule="auto"/>
        <w:rPr>
          <w:rFonts w:hint="eastAsia"/>
          <w:sz w:val="24"/>
          <w:szCs w:val="24"/>
        </w:rPr>
      </w:pPr>
      <w:r>
        <w:rPr>
          <w:rFonts w:hint="eastAsia" w:asciiTheme="minorEastAsia" w:hAnsiTheme="minorEastAsia" w:eastAsiaTheme="minorEastAsia" w:cstheme="minorEastAsia"/>
          <w:b/>
          <w:bCs/>
          <w:sz w:val="24"/>
          <w:szCs w:val="24"/>
        </w:rPr>
        <w:t>制定依据：</w:t>
      </w:r>
      <w:r>
        <w:rPr>
          <w:rFonts w:hint="eastAsia"/>
          <w:sz w:val="24"/>
          <w:szCs w:val="24"/>
        </w:rPr>
        <w:t>《中华人民共和国拍卖法》、《拍卖管理办法》等相关法律法规</w:t>
      </w:r>
    </w:p>
    <w:p w14:paraId="57F803B0">
      <w:pPr>
        <w:spacing w:line="360" w:lineRule="auto"/>
        <w:ind w:firstLine="480" w:firstLineChars="200"/>
        <w:rPr>
          <w:rFonts w:hint="eastAsia"/>
          <w:sz w:val="24"/>
          <w:szCs w:val="24"/>
        </w:rPr>
      </w:pPr>
      <w:r>
        <w:rPr>
          <w:rFonts w:hint="eastAsia"/>
          <w:sz w:val="24"/>
          <w:szCs w:val="24"/>
        </w:rPr>
        <w:t>为规范本次网络拍卖活动，明确各方权利义务，保障拍卖依法、有序进行，特制定本规则。凡参与本次网络竞拍的竞买人，均视为已全面阅读、理解并自愿接受本规则的全部条款及约束。</w:t>
      </w:r>
    </w:p>
    <w:p w14:paraId="66831BFF">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 账户安全与责任</w:t>
      </w:r>
    </w:p>
    <w:p w14:paraId="61743688">
      <w:pPr>
        <w:spacing w:line="360" w:lineRule="auto"/>
        <w:ind w:firstLine="480" w:firstLineChars="200"/>
        <w:rPr>
          <w:rFonts w:hint="eastAsia"/>
          <w:sz w:val="24"/>
          <w:szCs w:val="24"/>
        </w:rPr>
      </w:pPr>
      <w:r>
        <w:rPr>
          <w:rFonts w:hint="eastAsia"/>
          <w:sz w:val="24"/>
          <w:szCs w:val="24"/>
        </w:rPr>
        <w:t>竞买人以其账号和密码登录平台进行的一切操作，均视为该竞买人本人行为，竞买人应对其账户的所有活动及产生的法律后果承担完全责任。竞买人不得将账号、密码出借、转让或授权他人使用。如发现账户被非法使用，应立即以书面形式通知拍卖人。因竞买人保管不善、故意或过失导致账号、密码泄露或被非法使用所造成的一切损失，拍卖人不承担任何责任。</w:t>
      </w:r>
    </w:p>
    <w:p w14:paraId="161087C3">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技术风险免责</w:t>
      </w:r>
    </w:p>
    <w:p w14:paraId="39EC5F33">
      <w:pPr>
        <w:spacing w:line="360" w:lineRule="auto"/>
        <w:ind w:firstLine="480" w:firstLineChars="200"/>
        <w:rPr>
          <w:rFonts w:hint="eastAsia"/>
          <w:sz w:val="24"/>
          <w:szCs w:val="24"/>
        </w:rPr>
      </w:pPr>
      <w:r>
        <w:rPr>
          <w:rFonts w:hint="eastAsia"/>
          <w:sz w:val="24"/>
          <w:szCs w:val="24"/>
        </w:rPr>
        <w:t>鉴于网络环境的复杂性与不确定性，拍卖过程中可能遇到包括但不限于网络延迟、中断、平台系统故障、黑客攻击、电力中断等不可预见或无法控制的技术问题。此类问题可能导致竞价信息显示异常、竞价时间不完整、出价指令未能成功提交或记录等情形。</w:t>
      </w:r>
    </w:p>
    <w:p w14:paraId="71506C8F">
      <w:pPr>
        <w:spacing w:line="360" w:lineRule="auto"/>
        <w:ind w:firstLine="480" w:firstLineChars="200"/>
        <w:rPr>
          <w:rFonts w:hint="eastAsia"/>
          <w:sz w:val="24"/>
          <w:szCs w:val="24"/>
        </w:rPr>
      </w:pPr>
      <w:r>
        <w:rPr>
          <w:rFonts w:hint="eastAsia"/>
          <w:sz w:val="24"/>
          <w:szCs w:val="24"/>
        </w:rPr>
        <w:t>一旦发生前述情况，拍卖人有权根据事态的严重程度及技术恢复可能性，独立判断并决定采取延迟、暂停、恢复或重新启动拍卖会等必要措施。若竞价记录可恢复，则重新拍卖的起始价为中断时的最高有效报价；若记录无法恢复，则起始价恢复为拍卖公告载明的起拍价。</w:t>
      </w:r>
    </w:p>
    <w:p w14:paraId="0C097DCB">
      <w:pPr>
        <w:spacing w:line="360" w:lineRule="auto"/>
        <w:ind w:firstLine="480" w:firstLineChars="200"/>
        <w:rPr>
          <w:rFonts w:hint="eastAsia"/>
          <w:sz w:val="24"/>
          <w:szCs w:val="24"/>
          <w:u w:val="single"/>
        </w:rPr>
      </w:pPr>
      <w:r>
        <w:rPr>
          <w:rFonts w:hint="eastAsia"/>
          <w:sz w:val="24"/>
          <w:szCs w:val="24"/>
          <w:u w:val="single"/>
        </w:rPr>
        <w:t>竞买人参与本次网络竞拍，即视为已充分认知并自愿承担上述全部技术风险及可能导致的竞价不成功等后果，并永久且不可撤销地放弃就任何因技术故障（无论其原因）导致的直接或间接损失，向拍卖人及委托人提出任何索赔、诉讼或抗辩的权利。因竞买人自身网络环境、硬件设备、软件配置或操作失误导致的问题，由竞买人自行承担责任。</w:t>
      </w:r>
    </w:p>
    <w:p w14:paraId="2209D360">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竞买资格获取</w:t>
      </w:r>
    </w:p>
    <w:p w14:paraId="6C208130">
      <w:pPr>
        <w:spacing w:line="360" w:lineRule="auto"/>
        <w:ind w:firstLine="480" w:firstLineChars="200"/>
        <w:rPr>
          <w:rFonts w:hint="eastAsia"/>
          <w:sz w:val="24"/>
          <w:szCs w:val="24"/>
        </w:rPr>
      </w:pPr>
      <w:r>
        <w:rPr>
          <w:rFonts w:hint="eastAsia"/>
          <w:sz w:val="24"/>
          <w:szCs w:val="24"/>
        </w:rPr>
        <w:t>竞买人须在拍卖公告规定的期限内，将足额竞买保证金汇至拍卖人指定账户，并按规定向拍卖人提交竞买申请资料。经审核通过，并与拍卖人签署《竞买协议》后，方可获得平台登录权限及网络竞买资格。</w:t>
      </w:r>
    </w:p>
    <w:p w14:paraId="2ED47320">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第四条 标的现状认可</w:t>
      </w:r>
    </w:p>
    <w:p w14:paraId="5E51A3D5">
      <w:pPr>
        <w:spacing w:line="360" w:lineRule="auto"/>
        <w:ind w:firstLine="480" w:firstLineChars="200"/>
        <w:rPr>
          <w:rFonts w:hint="eastAsia"/>
          <w:sz w:val="24"/>
          <w:szCs w:val="24"/>
        </w:rPr>
      </w:pPr>
      <w:r>
        <w:rPr>
          <w:rFonts w:hint="eastAsia"/>
          <w:sz w:val="24"/>
          <w:szCs w:val="24"/>
        </w:rPr>
        <w:t>拍卖标的均以看样时的实物现状为准。拍卖人及委托人对标的的数量、质量、使用状况、权利负担、潜在瑕疵等不作任何保证。竞买人通过平台出价，即表明其已实地查验标的，并充分了解、认可及接受标的的一切现状及风险。</w:t>
      </w:r>
    </w:p>
    <w:p w14:paraId="473887BD">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第五条 竞价方式与成交</w:t>
      </w:r>
    </w:p>
    <w:p w14:paraId="2C187FBC">
      <w:pPr>
        <w:spacing w:line="360" w:lineRule="auto"/>
        <w:ind w:firstLine="480" w:firstLineChars="200"/>
        <w:rPr>
          <w:rFonts w:hint="eastAsia"/>
          <w:sz w:val="24"/>
          <w:szCs w:val="24"/>
        </w:rPr>
      </w:pPr>
      <w:r>
        <w:rPr>
          <w:rFonts w:hint="eastAsia"/>
          <w:sz w:val="24"/>
          <w:szCs w:val="24"/>
        </w:rPr>
        <w:t>本次拍卖采用网络增价方式。设置300秒的延时周期，即在竞价截止时间前若有新的有效报价，则系统自动顺延300秒，直至在某个300秒周期内无新的报价为止。系统自动记录的全部出价信息为拍卖活动的有效凭证。竞价结束时，出价最高且符合条件的竞买人即为买受人。</w:t>
      </w:r>
    </w:p>
    <w:p w14:paraId="53319602">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第六条 成交确认书签署</w:t>
      </w:r>
    </w:p>
    <w:p w14:paraId="37C951BA">
      <w:pPr>
        <w:spacing w:line="360" w:lineRule="auto"/>
        <w:ind w:firstLine="480" w:firstLineChars="200"/>
        <w:rPr>
          <w:rFonts w:hint="eastAsia"/>
          <w:sz w:val="24"/>
          <w:szCs w:val="24"/>
        </w:rPr>
      </w:pPr>
      <w:r>
        <w:rPr>
          <w:rFonts w:hint="eastAsia"/>
          <w:sz w:val="24"/>
          <w:szCs w:val="24"/>
        </w:rPr>
        <w:t>网络竞拍成交后，买受人须在拍卖会结束后</w:t>
      </w:r>
      <w:r>
        <w:rPr>
          <w:rFonts w:hint="eastAsia"/>
          <w:sz w:val="24"/>
          <w:szCs w:val="24"/>
          <w:lang w:val="en-US" w:eastAsia="zh-CN"/>
        </w:rPr>
        <w:t>2</w:t>
      </w:r>
      <w:r>
        <w:rPr>
          <w:rFonts w:hint="eastAsia"/>
          <w:sz w:val="24"/>
          <w:szCs w:val="24"/>
        </w:rPr>
        <w:t>个工作日内，亲赴拍卖人营业场所现场签署《拍卖成交确认书》。买受人无正当理由逾期或拒绝签署的，即构成违约。</w:t>
      </w:r>
    </w:p>
    <w:p w14:paraId="7B13CF4F">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第七条 成交后续义务</w:t>
      </w:r>
      <w:bookmarkStart w:id="0" w:name="_GoBack"/>
      <w:bookmarkEnd w:id="0"/>
    </w:p>
    <w:p w14:paraId="182D9953">
      <w:pPr>
        <w:spacing w:line="360" w:lineRule="auto"/>
        <w:ind w:firstLine="480" w:firstLineChars="200"/>
        <w:rPr>
          <w:rFonts w:hint="eastAsia"/>
          <w:sz w:val="24"/>
          <w:szCs w:val="24"/>
        </w:rPr>
      </w:pPr>
      <w:r>
        <w:rPr>
          <w:rFonts w:hint="eastAsia"/>
          <w:sz w:val="24"/>
          <w:szCs w:val="24"/>
        </w:rPr>
        <w:t>买受人签署《拍卖成交确认书》后，须严格履行《竞买协议》第七条约定的全部义务，包括但不限于：在</w:t>
      </w:r>
      <w:r>
        <w:rPr>
          <w:rFonts w:hint="eastAsia"/>
          <w:sz w:val="24"/>
          <w:szCs w:val="24"/>
          <w:lang w:val="en-US" w:eastAsia="zh-CN"/>
        </w:rPr>
        <w:t>2</w:t>
      </w:r>
      <w:r>
        <w:rPr>
          <w:rFonts w:hint="eastAsia"/>
          <w:sz w:val="24"/>
          <w:szCs w:val="24"/>
        </w:rPr>
        <w:t>个工作日内支付拍卖佣金至拍卖人账户，并与委托人签订正式租赁合同，支付成交价款及履约保证金等。</w:t>
      </w:r>
    </w:p>
    <w:p w14:paraId="3E5AA100">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第八条 违约处理</w:t>
      </w:r>
    </w:p>
    <w:p w14:paraId="4C98F58C">
      <w:pPr>
        <w:spacing w:line="360" w:lineRule="auto"/>
        <w:ind w:firstLine="480" w:firstLineChars="200"/>
        <w:rPr>
          <w:rFonts w:hint="eastAsia"/>
          <w:sz w:val="24"/>
          <w:szCs w:val="24"/>
        </w:rPr>
      </w:pPr>
      <w:r>
        <w:rPr>
          <w:rFonts w:hint="eastAsia"/>
          <w:sz w:val="24"/>
          <w:szCs w:val="24"/>
        </w:rPr>
        <w:t>买受人违反本规则第六条、第七条或《竞买协议》任何约定的，均构成违约。委托人及拍卖人有权单方取消其买受人资格，并依据《竞买协议》第七条第3款之约定，追究其违约责任（包括但不限于没收保证金、追索佣金、要求支付再行拍卖差价及费用等）。</w:t>
      </w:r>
    </w:p>
    <w:p w14:paraId="6DF81AE5">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第九条 规则效力与文件解释</w:t>
      </w:r>
    </w:p>
    <w:p w14:paraId="21092E99">
      <w:pPr>
        <w:spacing w:line="360" w:lineRule="auto"/>
        <w:ind w:firstLine="480" w:firstLineChars="200"/>
        <w:rPr>
          <w:rFonts w:hint="eastAsia"/>
          <w:sz w:val="24"/>
          <w:szCs w:val="24"/>
        </w:rPr>
      </w:pPr>
      <w:r>
        <w:rPr>
          <w:rFonts w:hint="eastAsia"/>
          <w:sz w:val="24"/>
          <w:szCs w:val="24"/>
        </w:rPr>
        <w:t>1</w:t>
      </w:r>
      <w:r>
        <w:rPr>
          <w:rFonts w:hint="eastAsia"/>
          <w:sz w:val="24"/>
          <w:szCs w:val="24"/>
          <w:lang w:eastAsia="zh-CN"/>
        </w:rPr>
        <w:t>、</w:t>
      </w:r>
      <w:r>
        <w:rPr>
          <w:rFonts w:hint="eastAsia"/>
          <w:sz w:val="24"/>
          <w:szCs w:val="24"/>
        </w:rPr>
        <w:t>本规则与《拍卖公告》、《竞买协议》及《拍卖成交确认书》共同构成约束本次拍卖活动的完整法律文件体系。</w:t>
      </w:r>
    </w:p>
    <w:p w14:paraId="6ADCE529">
      <w:pPr>
        <w:spacing w:line="360" w:lineRule="auto"/>
        <w:ind w:firstLine="480" w:firstLineChars="200"/>
        <w:rPr>
          <w:rFonts w:hint="eastAsia"/>
          <w:sz w:val="24"/>
          <w:szCs w:val="24"/>
          <w:u w:val="single"/>
        </w:rPr>
      </w:pPr>
      <w:r>
        <w:rPr>
          <w:rFonts w:hint="eastAsia"/>
          <w:sz w:val="24"/>
          <w:szCs w:val="24"/>
          <w:u w:val="none"/>
        </w:rPr>
        <w:t>2</w:t>
      </w:r>
      <w:r>
        <w:rPr>
          <w:rFonts w:hint="eastAsia"/>
          <w:sz w:val="24"/>
          <w:szCs w:val="24"/>
          <w:u w:val="none"/>
          <w:lang w:eastAsia="zh-CN"/>
        </w:rPr>
        <w:t>、</w:t>
      </w:r>
      <w:r>
        <w:rPr>
          <w:rFonts w:hint="eastAsia"/>
          <w:sz w:val="24"/>
          <w:szCs w:val="24"/>
          <w:u w:val="single"/>
        </w:rPr>
        <w:t>若本规则内容与《竞买协议》存在任何不一致之处，均应以《竞买协议》的明确约定为准。</w:t>
      </w:r>
    </w:p>
    <w:p w14:paraId="22CE3476">
      <w:pPr>
        <w:spacing w:line="360" w:lineRule="auto"/>
        <w:ind w:firstLine="480" w:firstLineChars="200"/>
        <w:rPr>
          <w:rFonts w:hint="eastAsia"/>
          <w:sz w:val="24"/>
          <w:szCs w:val="24"/>
        </w:rPr>
      </w:pPr>
      <w:r>
        <w:rPr>
          <w:rFonts w:hint="eastAsia"/>
          <w:sz w:val="24"/>
          <w:szCs w:val="24"/>
        </w:rPr>
        <w:t>3</w:t>
      </w:r>
      <w:r>
        <w:rPr>
          <w:rFonts w:hint="eastAsia"/>
          <w:sz w:val="24"/>
          <w:szCs w:val="24"/>
          <w:lang w:eastAsia="zh-CN"/>
        </w:rPr>
        <w:t>、</w:t>
      </w:r>
      <w:r>
        <w:rPr>
          <w:rFonts w:hint="eastAsia"/>
          <w:sz w:val="24"/>
          <w:szCs w:val="24"/>
        </w:rPr>
        <w:t>拍卖人对本规则拥有最终解释权。</w:t>
      </w:r>
    </w:p>
    <w:p w14:paraId="35795357">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竞买人确认与承诺：</w:t>
      </w:r>
    </w:p>
    <w:p w14:paraId="3F7112C3">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本人/本单位作为竞买人，兹确认如下：</w:t>
      </w:r>
    </w:p>
    <w:p w14:paraId="07093BA7">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已收到并仔细阅读了本《网络竞拍规则》的全部内容。</w:t>
      </w:r>
    </w:p>
    <w:p w14:paraId="35C77ACC">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已完全理解本规则，特别是其中以加粗字体显示的关于技术风险、免责条款及违约责任等重要内容。</w:t>
      </w:r>
    </w:p>
    <w:p w14:paraId="5E9E12EF">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本人/本单位自愿接受本规则所有条款的约束，并承诺严格遵守。</w:t>
      </w:r>
    </w:p>
    <w:p w14:paraId="09FA931C">
      <w:pPr>
        <w:spacing w:line="360" w:lineRule="auto"/>
        <w:rPr>
          <w:rFonts w:hint="eastAsia"/>
          <w:sz w:val="24"/>
          <w:szCs w:val="24"/>
        </w:rPr>
      </w:pPr>
    </w:p>
    <w:p w14:paraId="0DBAB920">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竞买人/代理人（签</w:t>
      </w:r>
      <w:r>
        <w:rPr>
          <w:rFonts w:hint="eastAsia" w:asciiTheme="minorEastAsia" w:hAnsiTheme="minorEastAsia" w:eastAsiaTheme="minorEastAsia" w:cstheme="minorEastAsia"/>
          <w:b/>
          <w:bCs/>
          <w:sz w:val="24"/>
          <w:szCs w:val="24"/>
          <w:lang w:val="en-US" w:eastAsia="zh-CN"/>
        </w:rPr>
        <w:t>章</w:t>
      </w:r>
      <w:r>
        <w:rPr>
          <w:rFonts w:hint="eastAsia" w:asciiTheme="minorEastAsia" w:hAnsiTheme="minorEastAsia" w:eastAsiaTheme="minorEastAsia" w:cstheme="minorEastAsia"/>
          <w:b/>
          <w:bCs/>
          <w:sz w:val="24"/>
          <w:szCs w:val="24"/>
        </w:rPr>
        <w:t>）：____________________</w:t>
      </w:r>
    </w:p>
    <w:p w14:paraId="68E1F5FC">
      <w:pPr>
        <w:spacing w:line="360" w:lineRule="auto"/>
        <w:rPr>
          <w:rFonts w:hint="eastAsia" w:asciiTheme="minorEastAsia" w:hAnsiTheme="minorEastAsia" w:eastAsiaTheme="minorEastAsia" w:cstheme="minorEastAsia"/>
          <w:b/>
          <w:bCs/>
          <w:sz w:val="24"/>
          <w:szCs w:val="24"/>
        </w:rPr>
      </w:pPr>
    </w:p>
    <w:p w14:paraId="4DFBB4DA">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统一社会信用代码/身份证号： ____________________</w:t>
      </w:r>
    </w:p>
    <w:p w14:paraId="25A9728B">
      <w:pPr>
        <w:spacing w:line="360" w:lineRule="auto"/>
        <w:jc w:val="right"/>
        <w:rPr>
          <w:rFonts w:hint="eastAsia" w:asciiTheme="minorEastAsia" w:hAnsiTheme="minorEastAsia" w:eastAsiaTheme="minorEastAsia" w:cstheme="minorEastAsia"/>
          <w:b/>
          <w:bCs/>
          <w:sz w:val="24"/>
          <w:szCs w:val="24"/>
        </w:rPr>
      </w:pPr>
    </w:p>
    <w:p w14:paraId="1050229B">
      <w:pPr>
        <w:spacing w:line="360" w:lineRule="auto"/>
        <w:ind w:firstLine="482" w:firstLineChars="200"/>
        <w:jc w:val="righ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日期：2025年</w:t>
      </w:r>
      <w:r>
        <w:rPr>
          <w:rFonts w:hint="eastAsia" w:asciiTheme="minorEastAsia" w:hAnsiTheme="minorEastAsia" w:eastAsiaTheme="minorEastAsia" w:cstheme="minorEastAsia"/>
          <w:b/>
          <w:bCs/>
          <w:sz w:val="24"/>
          <w:szCs w:val="24"/>
          <w:lang w:val="en-US" w:eastAsia="zh-CN"/>
        </w:rPr>
        <w:t>____</w:t>
      </w:r>
      <w:r>
        <w:rPr>
          <w:rFonts w:hint="eastAsia" w:asciiTheme="minorEastAsia" w:hAnsiTheme="minorEastAsia" w:eastAsiaTheme="minorEastAsia" w:cstheme="minorEastAsia"/>
          <w:b/>
          <w:bCs/>
          <w:sz w:val="24"/>
          <w:szCs w:val="24"/>
        </w:rPr>
        <w:t>月</w:t>
      </w:r>
      <w:r>
        <w:rPr>
          <w:rFonts w:hint="eastAsia" w:asciiTheme="minorEastAsia" w:hAnsiTheme="minorEastAsia" w:eastAsiaTheme="minorEastAsia" w:cstheme="minorEastAsia"/>
          <w:b/>
          <w:bCs/>
          <w:sz w:val="24"/>
          <w:szCs w:val="24"/>
          <w:lang w:val="en-US" w:eastAsia="zh-CN"/>
        </w:rPr>
        <w:t>____</w:t>
      </w:r>
      <w:r>
        <w:rPr>
          <w:rFonts w:hint="eastAsia" w:asciiTheme="minorEastAsia" w:hAnsiTheme="minorEastAsia" w:eastAsiaTheme="minorEastAsia" w:cstheme="minorEastAsia"/>
          <w:b/>
          <w:bCs/>
          <w:sz w:val="24"/>
          <w:szCs w:val="24"/>
        </w:rPr>
        <w:t>日</w:t>
      </w:r>
    </w:p>
    <w:p w14:paraId="2D1D4F70">
      <w:pPr>
        <w:spacing w:line="360" w:lineRule="auto"/>
        <w:ind w:firstLine="482" w:firstLineChars="200"/>
        <w:jc w:val="right"/>
        <w:rPr>
          <w:rFonts w:hint="eastAsia" w:asciiTheme="minorEastAsia" w:hAnsiTheme="minorEastAsia" w:eastAsiaTheme="minorEastAsia" w:cstheme="minorEastAsia"/>
          <w:b/>
          <w:bCs/>
          <w:sz w:val="24"/>
          <w:szCs w:val="24"/>
        </w:rPr>
      </w:pPr>
    </w:p>
    <w:p w14:paraId="711C6684">
      <w:pPr>
        <w:spacing w:line="360" w:lineRule="auto"/>
        <w:rPr>
          <w:rFonts w:hint="eastAsia" w:asciiTheme="minorEastAsia" w:hAnsiTheme="minorEastAsia" w:eastAsiaTheme="minorEastAsia" w:cstheme="minorEastAsia"/>
          <w:b/>
          <w:bCs/>
          <w:sz w:val="24"/>
          <w:szCs w:val="24"/>
          <w:lang w:val="en-US" w:eastAsia="zh-CN"/>
        </w:rPr>
      </w:pPr>
    </w:p>
    <w:p w14:paraId="74BA5E8E">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备注：</w:t>
      </w:r>
      <w:r>
        <w:rPr>
          <w:rFonts w:hint="eastAsia" w:asciiTheme="minorEastAsia" w:hAnsiTheme="minorEastAsia" w:eastAsiaTheme="minorEastAsia" w:cstheme="minorEastAsia"/>
          <w:b/>
          <w:bCs/>
          <w:sz w:val="24"/>
          <w:szCs w:val="24"/>
        </w:rPr>
        <w:t>（公司竞买人须加盖公章）</w:t>
      </w:r>
    </w:p>
    <w:p w14:paraId="2F42FFD2">
      <w:pPr>
        <w:spacing w:line="360" w:lineRule="auto"/>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F01C1"/>
    <w:rsid w:val="1E361D49"/>
    <w:rsid w:val="393E44C7"/>
    <w:rsid w:val="420151FB"/>
    <w:rsid w:val="455C2DF1"/>
    <w:rsid w:val="76BF0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1695</Words>
  <Characters>1748</Characters>
  <Lines>0</Lines>
  <Paragraphs>0</Paragraphs>
  <TotalTime>8</TotalTime>
  <ScaleCrop>false</ScaleCrop>
  <LinksUpToDate>false</LinksUpToDate>
  <CharactersWithSpaces>1762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2025-12-04T03:58:00Z</dcterms:created>
  <dc:creator>刘东(SIMON）</dc:creator>
  <cp:lastModifiedBy>NTKO</cp:lastModifiedBy>
  <dcterms:modified xsi:type="dcterms:W3CDTF">2025-12-08T08:19:14Z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C103EF4DF931482685350B8780AFD823_13</vt:lpwstr>
  </property>
  <property fmtid="{D5CDD505-2E9C-101B-9397-08002B2CF9AE}" pid="4" name="KSOTemplateDocerSaveRecord">
    <vt:lpwstr>eyJoZGlkIjoiMmM2ODhlZjcxODhlZmMwYWU4NDU1MDEyOWQxMmQ5OGUiLCJ1c2VySWQiOiI0Mzk3NzUwODAifQ==</vt:lpwstr>
  </property>
</Properties>
</file>